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6E33" w:rsidRPr="00F06E33" w:rsidTr="008609C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MediumList1-Accent4"/>
              <w:tblpPr w:leftFromText="180" w:rightFromText="180" w:vertAnchor="text" w:horzAnchor="margin" w:tblpYSpec="center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99"/>
              <w:gridCol w:w="2225"/>
            </w:tblGrid>
            <w:tr w:rsidR="00F06E33" w:rsidRPr="00F06E33" w:rsidTr="008609C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left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rPr>
                      <w:rFonts w:ascii="Nastaliq" w:eastAsiaTheme="minorHAnsi" w:hAnsi="Nastaliq" w:cs="Nastaliq"/>
                      <w:b w:val="0"/>
                      <w:bCs w:val="0"/>
                      <w:sz w:val="32"/>
                      <w:szCs w:val="32"/>
                      <w:lang w:bidi="fa-IR"/>
                    </w:rPr>
                  </w:pPr>
                  <w:bookmarkStart w:id="0" w:name="OLE_LINK1"/>
                  <w:bookmarkStart w:id="1" w:name="OLE_LINK2"/>
                  <w:bookmarkStart w:id="2" w:name="OLE_LINK3"/>
                  <w:r>
                    <w:rPr>
                      <w:rFonts w:ascii="Nastaliq" w:eastAsiaTheme="minorHAnsi" w:hAnsi="Nastaliq" w:cs="Nastaliq" w:hint="cs"/>
                      <w:b w:val="0"/>
                      <w:bCs w:val="0"/>
                      <w:sz w:val="32"/>
                      <w:szCs w:val="32"/>
                      <w:rtl/>
                      <w:lang w:bidi="fa-IR"/>
                    </w:rPr>
                    <w:t>واردات حبوبات در چهار ماه اول سال 96</w:t>
                  </w:r>
                </w:p>
              </w:tc>
              <w:tc>
                <w:tcPr>
                  <w:tcW w:w="2267" w:type="dxa"/>
                  <w:tcBorders>
                    <w:left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 w:rsidRPr="00F06E33"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  <w:t>عنوان گزارش</w:t>
                  </w:r>
                </w:p>
              </w:tc>
            </w:tr>
            <w:tr w:rsidR="00F06E33" w:rsidRPr="00F06E33" w:rsidTr="008609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</w:pPr>
                  <w:r w:rsidRPr="00F06E33">
                    <w:rPr>
                      <w:rFonts w:ascii="Nastaliq" w:hAnsi="Nastaliq" w:cs="Nastaliq" w:hint="cs"/>
                      <w:sz w:val="32"/>
                      <w:szCs w:val="32"/>
                      <w:rtl/>
                      <w:lang w:bidi="fa-IR"/>
                    </w:rPr>
                    <w:t>مرکز ملی مطالعات راهبردی کشاورزی و آب اتاق ایران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 w:rsidRPr="00F06E33"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  <w:t>واحد تهیه کننده</w:t>
                  </w:r>
                </w:p>
              </w:tc>
            </w:tr>
            <w:tr w:rsidR="00F06E33" w:rsidRPr="00F06E33" w:rsidTr="008609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Nastaliq" w:hAnsi="Nastaliq" w:cs="Nastaliq" w:hint="cs"/>
                      <w:sz w:val="32"/>
                      <w:szCs w:val="32"/>
                      <w:rtl/>
                      <w:lang w:bidi="fa-IR"/>
                    </w:rPr>
                    <w:t>1396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 w:rsidRPr="00F06E33"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  <w:t>تاریخ صدور نسخه</w:t>
                  </w:r>
                </w:p>
              </w:tc>
            </w:tr>
            <w:tr w:rsidR="00F06E33" w:rsidRPr="00F06E33" w:rsidTr="008609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 w:rsidRPr="00F06E33"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 w:rsidRPr="00F06E33"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  <w:t>شماره نسخه</w:t>
                  </w:r>
                </w:p>
              </w:tc>
            </w:tr>
            <w:tr w:rsidR="00F06E33" w:rsidRPr="00F06E33" w:rsidTr="008609C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Nastaliq" w:hAnsi="Nastaliq" w:cs="Nastaliq" w:hint="cs"/>
                      <w:sz w:val="32"/>
                      <w:szCs w:val="3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 w:rsidRPr="00F06E33"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  <w:t>تعداد صفحات</w:t>
                  </w:r>
                </w:p>
              </w:tc>
            </w:tr>
            <w:tr w:rsidR="00F06E33" w:rsidRPr="00F06E33" w:rsidTr="008609C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7083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bidi/>
                    <w:jc w:val="both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 w:rsidRPr="00F06E33"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  <w:t xml:space="preserve">                                                                                قابل استناد             </w:t>
                  </w:r>
                  <w:r w:rsidRPr="00F06E33">
                    <w:rPr>
                      <w:rFonts w:ascii="Nastaliq" w:hAnsi="Nastaliq" w:cs="Nastaliq" w:hint="cs"/>
                      <w:sz w:val="32"/>
                      <w:szCs w:val="32"/>
                      <w:rtl/>
                      <w:lang w:bidi="fa-IR"/>
                    </w:rPr>
                    <w:t>یا غیرقابل انتشار</w:t>
                  </w:r>
                  <w:r w:rsidRPr="00F06E33"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  <w:t xml:space="preserve">                                                                  </w:t>
                  </w:r>
                </w:p>
              </w:tc>
              <w:tc>
                <w:tcPr>
                  <w:tcW w:w="2267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 w:rsidRPr="00F06E33"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  <w:t>طبقه بندی</w:t>
                  </w:r>
                </w:p>
              </w:tc>
            </w:tr>
            <w:bookmarkEnd w:id="0"/>
            <w:bookmarkEnd w:id="1"/>
            <w:bookmarkEnd w:id="2"/>
          </w:tbl>
          <w:p w:rsidR="00F06E33" w:rsidRPr="00F06E33" w:rsidRDefault="00F06E33" w:rsidP="008609CD">
            <w:pPr>
              <w:jc w:val="center"/>
              <w:rPr>
                <w:rFonts w:ascii="Nastaliq" w:hAnsi="Nastaliq" w:cs="Nastaliq"/>
                <w:sz w:val="32"/>
                <w:szCs w:val="32"/>
                <w:lang w:bidi="fa-IR"/>
              </w:rPr>
            </w:pPr>
          </w:p>
        </w:tc>
      </w:tr>
      <w:tr w:rsidR="00F06E33" w:rsidRPr="00F06E33" w:rsidTr="008609CD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tbl>
            <w:tblPr>
              <w:tblStyle w:val="TableGrid"/>
              <w:tblpPr w:leftFromText="180" w:rightFromText="180" w:horzAnchor="margin" w:tblpY="427"/>
              <w:tblOverlap w:val="never"/>
              <w:tblW w:w="0" w:type="auto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61"/>
              <w:gridCol w:w="4563"/>
            </w:tblGrid>
            <w:tr w:rsidR="00F06E33" w:rsidRPr="00F06E33" w:rsidTr="008609CD">
              <w:tc>
                <w:tcPr>
                  <w:tcW w:w="46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7CAAC" w:themeFill="accent2" w:themeFillTint="66"/>
                  <w:hideMark/>
                </w:tcPr>
                <w:p w:rsidR="00F06E33" w:rsidRPr="00F06E33" w:rsidRDefault="00F06E33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 w:rsidRPr="00F06E33"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  <w:t>مسئول تأیید کننده</w:t>
                  </w:r>
                </w:p>
              </w:tc>
              <w:tc>
                <w:tcPr>
                  <w:tcW w:w="46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shd w:val="clear" w:color="auto" w:fill="F7CAAC" w:themeFill="accent2" w:themeFillTint="66"/>
                  <w:hideMark/>
                </w:tcPr>
                <w:p w:rsidR="00F06E33" w:rsidRPr="00F06E33" w:rsidRDefault="00F06E33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 w:rsidRPr="00F06E33">
                    <w:rPr>
                      <w:rFonts w:ascii="Nastaliq" w:hAnsi="Nastaliq" w:cs="Nastaliq"/>
                      <w:sz w:val="32"/>
                      <w:szCs w:val="32"/>
                      <w:rtl/>
                      <w:lang w:bidi="fa-IR"/>
                    </w:rPr>
                    <w:t>مسئول تهیه کننده</w:t>
                  </w:r>
                </w:p>
              </w:tc>
            </w:tr>
            <w:tr w:rsidR="00F06E33" w:rsidRPr="00F06E33" w:rsidTr="008609CD">
              <w:tc>
                <w:tcPr>
                  <w:tcW w:w="46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</w:tcPr>
                <w:p w:rsidR="00F06E33" w:rsidRPr="00F06E33" w:rsidRDefault="00F06E33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 w:rsidRPr="00F06E33">
                    <w:rPr>
                      <w:rFonts w:ascii="Nastaliq" w:hAnsi="Nastaliq" w:cs="Nastaliq" w:hint="cs"/>
                      <w:sz w:val="32"/>
                      <w:szCs w:val="32"/>
                      <w:rtl/>
                      <w:lang w:bidi="fa-IR"/>
                    </w:rPr>
                    <w:t>مهندس عباس کشاورز- مهندس محمدحسین شریعتمدار</w:t>
                  </w:r>
                </w:p>
              </w:tc>
              <w:tc>
                <w:tcPr>
                  <w:tcW w:w="4675" w:type="dxa"/>
                  <w:tcBorders>
                    <w:top w:val="dashed" w:sz="4" w:space="0" w:color="auto"/>
                    <w:left w:val="dashed" w:sz="4" w:space="0" w:color="auto"/>
                    <w:bottom w:val="dashed" w:sz="4" w:space="0" w:color="auto"/>
                    <w:right w:val="dashed" w:sz="4" w:space="0" w:color="auto"/>
                  </w:tcBorders>
                  <w:hideMark/>
                </w:tcPr>
                <w:p w:rsidR="00F06E33" w:rsidRPr="00F06E33" w:rsidRDefault="00F06E33" w:rsidP="008609CD">
                  <w:pPr>
                    <w:jc w:val="center"/>
                    <w:rPr>
                      <w:rFonts w:ascii="Nastaliq" w:hAnsi="Nastaliq" w:cs="Nastaliq"/>
                      <w:sz w:val="32"/>
                      <w:szCs w:val="32"/>
                      <w:lang w:bidi="fa-IR"/>
                    </w:rPr>
                  </w:pPr>
                  <w:r>
                    <w:rPr>
                      <w:rFonts w:ascii="Nastaliq" w:hAnsi="Nastaliq" w:cs="Nastaliq" w:hint="cs"/>
                      <w:sz w:val="32"/>
                      <w:szCs w:val="32"/>
                      <w:rtl/>
                      <w:lang w:bidi="fa-IR"/>
                    </w:rPr>
                    <w:t>عبدالرحبم خسروی-روجا کیانپور</w:t>
                  </w:r>
                  <w:bookmarkStart w:id="3" w:name="_GoBack"/>
                  <w:bookmarkEnd w:id="3"/>
                </w:p>
              </w:tc>
            </w:tr>
          </w:tbl>
          <w:p w:rsidR="00F06E33" w:rsidRPr="00F06E33" w:rsidRDefault="00F06E33" w:rsidP="008609CD">
            <w:pPr>
              <w:rPr>
                <w:sz w:val="32"/>
                <w:szCs w:val="32"/>
              </w:rPr>
            </w:pPr>
          </w:p>
        </w:tc>
      </w:tr>
    </w:tbl>
    <w:p w:rsidR="00F06E33" w:rsidRDefault="00F06E33" w:rsidP="00F06E3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06E33" w:rsidRDefault="00F06E33" w:rsidP="00F06E3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06E33" w:rsidRDefault="00F06E33" w:rsidP="00F06E3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06E33" w:rsidRDefault="00F06E33" w:rsidP="00F06E3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06E33" w:rsidRDefault="00F06E33" w:rsidP="00F06E3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06E33" w:rsidRDefault="00F06E33" w:rsidP="00F06E3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06E33" w:rsidRDefault="00F06E33" w:rsidP="00F06E3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06E33" w:rsidRDefault="00F06E33" w:rsidP="00F06E3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06E33" w:rsidRDefault="00F06E33" w:rsidP="00F06E3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</w:p>
    <w:p w:rsidR="00F06E33" w:rsidRDefault="00F06E33" w:rsidP="00F06E33">
      <w:pPr>
        <w:bidi/>
        <w:rPr>
          <w:rFonts w:cs="B Zar"/>
          <w:b/>
          <w:bCs/>
          <w:sz w:val="28"/>
          <w:szCs w:val="28"/>
          <w:rtl/>
          <w:lang w:bidi="fa-IR"/>
        </w:rPr>
      </w:pPr>
    </w:p>
    <w:p w:rsidR="00F06E33" w:rsidRPr="00F06E33" w:rsidRDefault="00F06E33" w:rsidP="00F06E33">
      <w:pPr>
        <w:bidi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06E33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واردات حبوبات در چهار ماه اول سال 96</w:t>
      </w:r>
    </w:p>
    <w:p w:rsidR="00F531FD" w:rsidRPr="0011446C" w:rsidRDefault="0063715B" w:rsidP="00F06E33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11446C">
        <w:rPr>
          <w:rFonts w:cs="B Zar" w:hint="cs"/>
          <w:sz w:val="28"/>
          <w:szCs w:val="28"/>
          <w:rtl/>
          <w:lang w:bidi="fa-IR"/>
        </w:rPr>
        <w:t xml:space="preserve">کل واردات حبوبات در چهار ماهه اول سال 1396، 7/160 هزار تن با ارزش 7/115 میلیون دلار بوده است که نسبت به مدت مشابه سال قبل از نظر وزنی 57 درصد و از نظر ارزش 52 درصد افزایش دارد . </w:t>
      </w:r>
    </w:p>
    <w:p w:rsidR="0063715B" w:rsidRPr="0011446C" w:rsidRDefault="0063715B" w:rsidP="0011446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11446C">
        <w:rPr>
          <w:rFonts w:cs="B Zar" w:hint="cs"/>
          <w:sz w:val="28"/>
          <w:szCs w:val="28"/>
          <w:rtl/>
          <w:lang w:bidi="fa-IR"/>
        </w:rPr>
        <w:t>میزان واردات انواع لوبیا در چهار ماهه</w:t>
      </w:r>
      <w:r w:rsidR="00A34B35" w:rsidRPr="0011446C">
        <w:rPr>
          <w:rFonts w:cs="B Zar" w:hint="cs"/>
          <w:sz w:val="28"/>
          <w:szCs w:val="28"/>
          <w:rtl/>
          <w:lang w:bidi="fa-IR"/>
        </w:rPr>
        <w:t xml:space="preserve"> </w:t>
      </w:r>
      <w:r w:rsidR="00D9683B" w:rsidRPr="0011446C">
        <w:rPr>
          <w:rFonts w:cs="B Zar" w:hint="cs"/>
          <w:sz w:val="28"/>
          <w:szCs w:val="28"/>
          <w:rtl/>
          <w:lang w:bidi="fa-IR"/>
        </w:rPr>
        <w:t xml:space="preserve">اول سال 1396، 5/21 هزار تن با ارزش 2/25 </w:t>
      </w:r>
      <w:r w:rsidR="00503649" w:rsidRPr="0011446C">
        <w:rPr>
          <w:rFonts w:cs="B Zar" w:hint="cs"/>
          <w:sz w:val="28"/>
          <w:szCs w:val="28"/>
          <w:rtl/>
          <w:lang w:bidi="fa-IR"/>
        </w:rPr>
        <w:t xml:space="preserve">میلیون دلار بوده که نسبت به واردات مدت مشابه سال قبل از نظر وزنی و از نظر ارزش به طور متوسط 7/2 برابر افزایش نشان می دهد. </w:t>
      </w:r>
    </w:p>
    <w:p w:rsidR="00503649" w:rsidRPr="0011446C" w:rsidRDefault="006029B6" w:rsidP="0011446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11446C">
        <w:rPr>
          <w:rFonts w:cs="B Zar" w:hint="cs"/>
          <w:sz w:val="28"/>
          <w:szCs w:val="28"/>
          <w:rtl/>
          <w:lang w:bidi="fa-IR"/>
        </w:rPr>
        <w:t xml:space="preserve">میزان واردات عدس در چهار ماهه اول سال 1396 ، 5/30 هزار تن با ارزش 2/36 میلیون دلار بوده که نسبت به واردات مدت مشابه سال قبل از نظر وزنی 23 درصد و از نظر ارزش 24 درصد کاهش دارد. </w:t>
      </w:r>
    </w:p>
    <w:p w:rsidR="006029B6" w:rsidRPr="0011446C" w:rsidRDefault="0091167F" w:rsidP="0011446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11446C">
        <w:rPr>
          <w:rFonts w:cs="B Zar" w:hint="cs"/>
          <w:sz w:val="28"/>
          <w:szCs w:val="28"/>
          <w:rtl/>
          <w:lang w:bidi="fa-IR"/>
        </w:rPr>
        <w:t xml:space="preserve">میزان واردات لپه در چهار ماهه اول سال 1396، 7/1 هزار تن با ارزش 3/1 میلیون دلار بوده که نسبت به مدت مشابه سال قبل از نظر وزنی 7/7  برابر و از نظر ارزش 5/6 برابر سال </w:t>
      </w:r>
      <w:r w:rsidR="0047220D" w:rsidRPr="0011446C">
        <w:rPr>
          <w:rFonts w:cs="B Zar" w:hint="cs"/>
          <w:sz w:val="28"/>
          <w:szCs w:val="28"/>
          <w:rtl/>
          <w:lang w:bidi="fa-IR"/>
        </w:rPr>
        <w:t xml:space="preserve">قبل افزایش دارد. </w:t>
      </w:r>
    </w:p>
    <w:p w:rsidR="0047220D" w:rsidRPr="0011446C" w:rsidRDefault="0047220D" w:rsidP="0011446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11446C">
        <w:rPr>
          <w:rFonts w:cs="B Zar" w:hint="cs"/>
          <w:sz w:val="28"/>
          <w:szCs w:val="28"/>
          <w:rtl/>
          <w:lang w:bidi="fa-IR"/>
        </w:rPr>
        <w:t xml:space="preserve">5- واردات سایر حبوبات (غالبا نخود سیاه) در 4 ماهه اول سال 96، 53 هزار تن با ارزش 53 میلیون دلار بوده که نسبت به مدت مشابه سال قبل از نظر وزنی و ارزش بطور متوسط 7/2 برابر می باشد . </w:t>
      </w:r>
    </w:p>
    <w:p w:rsidR="0047220D" w:rsidRPr="0011446C" w:rsidRDefault="00B01D55" w:rsidP="0011446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11446C">
        <w:rPr>
          <w:rFonts w:cs="B Zar" w:hint="cs"/>
          <w:sz w:val="28"/>
          <w:szCs w:val="28"/>
          <w:rtl/>
          <w:lang w:bidi="fa-IR"/>
        </w:rPr>
        <w:t xml:space="preserve">حقوق ورودی سال 1395 برای لپه 15، لوبیا قرمز 10، لوبیا چیتی 32 و لوبیا چشم بلبلی 55 درصد بوده که برای سال 1396 مطابق مصوبه 26/10/95 هیئت محترم وزیران به ترتیب به 10، 5،5، 5 درصد تحلیل یافته است. </w:t>
      </w:r>
    </w:p>
    <w:p w:rsidR="00B01D55" w:rsidRDefault="00B01D55" w:rsidP="0011446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11446C">
        <w:rPr>
          <w:rFonts w:cs="B Zar" w:hint="cs"/>
          <w:sz w:val="28"/>
          <w:szCs w:val="28"/>
          <w:rtl/>
          <w:lang w:bidi="fa-IR"/>
        </w:rPr>
        <w:t xml:space="preserve">متوسط قیمت خرده فروشی حبوبات در هفته </w:t>
      </w:r>
      <w:r w:rsidR="0011446C" w:rsidRPr="0011446C">
        <w:rPr>
          <w:rFonts w:cs="B Zar" w:hint="cs"/>
          <w:sz w:val="28"/>
          <w:szCs w:val="28"/>
          <w:rtl/>
          <w:lang w:bidi="fa-IR"/>
        </w:rPr>
        <w:t xml:space="preserve">منتهی به 30/4/96 ، در مجموع 7/20 درصد نسبت به مدت مشابه سال قبل افزایش داشته است و در این رابطه لپه 3/29 درصد، عدس 6 درصد، لوبیا قرمز 1/22 درصد، لوبیا چیتی 3/30 درصد لوبیا چشم </w:t>
      </w:r>
      <w:r w:rsidR="0011446C">
        <w:rPr>
          <w:rFonts w:cs="B Zar" w:hint="cs"/>
          <w:sz w:val="28"/>
          <w:szCs w:val="28"/>
          <w:rtl/>
          <w:lang w:bidi="fa-IR"/>
        </w:rPr>
        <w:t>بلبلی 7/5  درصد و نخود 1/25 درصد در مقایسه با مدت مشابه سال قبل افزایش داشته اند (منبع: بانک مرکزی)</w:t>
      </w:r>
    </w:p>
    <w:p w:rsidR="005F0AC3" w:rsidRPr="005F0AC3" w:rsidRDefault="005F0AC3" w:rsidP="005F0AC3">
      <w:pPr>
        <w:bidi/>
        <w:jc w:val="right"/>
        <w:rPr>
          <w:rFonts w:cs="B Zar"/>
          <w:sz w:val="28"/>
          <w:szCs w:val="28"/>
          <w:rtl/>
          <w:lang w:bidi="fa-IR"/>
        </w:rPr>
      </w:pPr>
    </w:p>
    <w:sectPr w:rsidR="005F0AC3" w:rsidRPr="005F0A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staliq">
    <w:altName w:val="IranNastaliq"/>
    <w:charset w:val="00"/>
    <w:family w:val="roman"/>
    <w:pitch w:val="variable"/>
    <w:sig w:usb0="00000000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F3618"/>
    <w:multiLevelType w:val="hybridMultilevel"/>
    <w:tmpl w:val="05722C3A"/>
    <w:lvl w:ilvl="0" w:tplc="B3A663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1FD"/>
    <w:rsid w:val="0011446C"/>
    <w:rsid w:val="001A27FD"/>
    <w:rsid w:val="0047220D"/>
    <w:rsid w:val="004C6D3B"/>
    <w:rsid w:val="00503649"/>
    <w:rsid w:val="005F0AC3"/>
    <w:rsid w:val="006029B6"/>
    <w:rsid w:val="0063715B"/>
    <w:rsid w:val="0091167F"/>
    <w:rsid w:val="00A34B35"/>
    <w:rsid w:val="00B01D55"/>
    <w:rsid w:val="00D9683B"/>
    <w:rsid w:val="00F06E33"/>
    <w:rsid w:val="00F5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38BA9-5E5F-4CD4-93FF-DC12EF9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31FD"/>
    <w:pPr>
      <w:ind w:left="720"/>
      <w:contextualSpacing/>
    </w:pPr>
  </w:style>
  <w:style w:type="table" w:styleId="TableGrid">
    <w:name w:val="Table Grid"/>
    <w:basedOn w:val="TableNormal"/>
    <w:uiPriority w:val="59"/>
    <w:rsid w:val="00F06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MediumList1-Accent4">
    <w:name w:val="Medium List 1 Accent 4"/>
    <w:basedOn w:val="TableNormal"/>
    <w:uiPriority w:val="65"/>
    <w:rsid w:val="00F06E3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ICCIMA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Helali</dc:creator>
  <cp:keywords/>
  <dc:description/>
  <cp:lastModifiedBy>Mahnaz Shabani</cp:lastModifiedBy>
  <cp:revision>3</cp:revision>
  <dcterms:created xsi:type="dcterms:W3CDTF">2017-08-29T10:44:00Z</dcterms:created>
  <dcterms:modified xsi:type="dcterms:W3CDTF">2018-08-14T07:29:00Z</dcterms:modified>
</cp:coreProperties>
</file>